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Tiếng Trung</w:t>
      </w:r>
      <w:r w:rsidRPr="00FA254E">
        <w:rPr>
          <w:b/>
          <w:bCs/>
          <w:noProof/>
          <w:sz w:val="24"/>
          <w:szCs w:val="24"/>
        </w:rPr>
        <w:t xml:space="preserve"> Du lịch 1</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Chinese for</w:t>
      </w:r>
      <w:r w:rsidRPr="00FA254E">
        <w:rPr>
          <w:b/>
          <w:bCs/>
          <w:noProof/>
          <w:sz w:val="24"/>
          <w:szCs w:val="24"/>
        </w:rPr>
        <w:t xml:space="preserve"> tourism 1</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TRI307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sinh viên từ vựng, mẫu câu, hội thoại tiếng Trung dùng trong du lịch. Người học được thực hành kỹ năng nghe, nói, đọc, viết theo các chủ đề như: lên kế hoạch du lịch, đặt phòng khách sạn, thăm quan mua sắm, ăn uống nhà hàng vv...</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giúp sinh viên hoàn thiện các kỹ năng và kiến thức cần thiết khi sử dụng tiếng Trung trong môi trường du lịch. Sinh viên có thể tiến hành giao tiếp bằng tiếng Trung trong tình huống liên quan đến chủ đề đã học và vận dụng vào thực tiễn.</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kiến thức để thực hành giao tiếp trong các tình huống thực tế khi đi du lịch.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được các kiến thức ngôn ngữ (từ vựng, ngữ pháp, ngữ âm) để lên kế hoạch đi du lịch với bạn bè, người thân.</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được các kiến thức ngôn ngữ (từ vựng, ngữ pháp, ngữ âm) khi đi thăm quan, mua sắm tại địa điểm du lịch.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được các kiến thức ngôn ngữ (từ vựng, ngữ pháp, ngữ âm) khi đi ăn uống ở nhà hàng.</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nội dung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Kế hoạch</w:t>
            </w:r>
            <w:r w:rsidRPr="00FA254E">
              <w:rPr>
                <w:noProof/>
                <w:sz w:val="24"/>
                <w:szCs w:val="24"/>
              </w:rPr>
              <w:t xml:space="preserve"> du lịch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Đặt phòng</w:t>
            </w:r>
            <w:r w:rsidRPr="00FA254E">
              <w:rPr>
                <w:noProof/>
                <w:sz w:val="24"/>
                <w:szCs w:val="24"/>
              </w:rPr>
              <w:t xml:space="preserve"> khách sạn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Thăm quan</w:t>
            </w:r>
            <w:r w:rsidRPr="00FA254E">
              <w:rPr>
                <w:noProof/>
                <w:sz w:val="24"/>
                <w:szCs w:val="24"/>
              </w:rPr>
              <w:t>, mua sắm</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Ăn uống</w:t>
            </w:r>
            <w:r w:rsidRPr="00FA254E">
              <w:rPr>
                <w:noProof/>
                <w:sz w:val="24"/>
                <w:szCs w:val="24"/>
              </w:rPr>
              <w:t xml:space="preserve"> nhà hàng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Hoạt động</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Thực hành</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p w:rsidRPr="00FA254E" w:rsidP="00BB1685">
            <w:pPr>
              <w:spacing w:before="40" w:after="40"/>
              <w:rPr>
                <w:sz w:val="24"/>
                <w:szCs w:val="24"/>
              </w:rPr>
            </w:pPr>
            <w:r w:rsidRPr="00FA254E">
              <w:rPr>
                <w:noProof/>
                <w:sz w:val="24"/>
                <w:szCs w:val="24"/>
              </w:rPr>
              <w:t>- Chuyên cần (10%)</w:t>
            </w:r>
          </w:p>
          <w:p w:rsidR="00EF0C39" w:rsidRPr="00FA254E" w:rsidP="00BB1685">
            <w:pPr>
              <w:spacing w:before="40" w:after="40"/>
              <w:rPr>
                <w:color w:val="000000"/>
                <w:sz w:val="24"/>
                <w:szCs w:val="24"/>
              </w:rPr>
            </w:pPr>
            <w:r w:rsidRPr="00FA254E">
              <w:rPr>
                <w:noProof/>
                <w:sz w:val="24"/>
                <w:szCs w:val="24"/>
              </w:rPr>
              <w:t>- Bài tập, kiểm tra, thuyết trình nhóm (40%)</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p w:rsidR="00EF0C39" w:rsidRPr="00FA254E" w:rsidP="00BB1685">
            <w:pPr>
              <w:spacing w:before="40" w:after="40"/>
              <w:rPr>
                <w:color w:val="000000"/>
                <w:sz w:val="24"/>
                <w:szCs w:val="24"/>
              </w:rPr>
            </w:pPr>
            <w:r w:rsidRPr="00FA254E">
              <w:rPr>
                <w:noProof/>
                <w:sz w:val="24"/>
                <w:szCs w:val="24"/>
              </w:rPr>
              <w:t>Hình thức thi: Bài tâp lớn - Vấn đáp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张新</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旅游汉语</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2005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华语教学出版社</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GV cung</w:t>
            </w:r>
            <w:r w:rsidRPr="00FA254E">
              <w:rPr>
                <w:noProof/>
                <w:sz w:val="24"/>
                <w:szCs w:val="24"/>
              </w:rPr>
              <w:t xml:space="preserve"> cấp</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Trương Văn</w:t>
            </w:r>
            <w:r w:rsidRPr="00FA254E">
              <w:rPr>
                <w:noProof/>
                <w:sz w:val="24"/>
                <w:szCs w:val="24"/>
              </w:rPr>
              <w:t xml:space="preserve"> Giới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Tiếng Hoa</w:t>
            </w:r>
            <w:r w:rsidRPr="00FA254E">
              <w:rPr>
                <w:noProof/>
                <w:sz w:val="24"/>
                <w:szCs w:val="24"/>
              </w:rPr>
              <w:t xml:space="preserve"> dùng trong du lịch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Khoa</w:t>
            </w:r>
            <w:r w:rsidRPr="00FA254E">
              <w:rPr>
                <w:noProof/>
                <w:sz w:val="24"/>
                <w:szCs w:val="24"/>
              </w:rPr>
              <w:t xml:space="preserve"> học xã hội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Nhật Phạm</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Hội thoại</w:t>
            </w:r>
            <w:r w:rsidRPr="00FA254E">
              <w:rPr>
                <w:noProof/>
                <w:sz w:val="24"/>
                <w:szCs w:val="24"/>
              </w:rPr>
              <w:t xml:space="preserve"> giao tiếp tiếng Trung ngành Du lịch khách sạn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Thanh</w:t>
            </w:r>
            <w:r w:rsidRPr="00FA254E">
              <w:rPr>
                <w:noProof/>
                <w:sz w:val="24"/>
                <w:szCs w:val="24"/>
              </w:rPr>
              <w:t xml:space="preserve"> niên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Việt</w:t>
            </w:r>
            <w:r w:rsidRPr="00FA254E">
              <w:rPr>
                <w:noProof/>
                <w:sz w:val="24"/>
                <w:szCs w:val="24"/>
              </w:rPr>
              <w:t xml:space="preserve"> Dũng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900 câu</w:t>
            </w:r>
            <w:r w:rsidRPr="00FA254E">
              <w:rPr>
                <w:noProof/>
                <w:sz w:val="24"/>
                <w:szCs w:val="24"/>
              </w:rPr>
              <w:t xml:space="preserve"> đàm thoại tiếng Trung du lịch (tam ngữ Anh – Trung – Việt)</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Thanh</w:t>
            </w:r>
            <w:r w:rsidRPr="00FA254E">
              <w:rPr>
                <w:noProof/>
                <w:sz w:val="24"/>
                <w:szCs w:val="24"/>
              </w:rPr>
              <w:t xml:space="preserve"> niên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Dorling Kindersley</w:t>
            </w:r>
            <w:r w:rsidRPr="00FA254E">
              <w:rPr>
                <w:noProof/>
                <w:sz w:val="24"/>
                <w:szCs w:val="24"/>
              </w:rPr>
              <w:t xml:space="preserve"> Limited</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Cẩm nang</w:t>
            </w:r>
            <w:r w:rsidRPr="00FA254E">
              <w:rPr>
                <w:noProof/>
                <w:sz w:val="24"/>
                <w:szCs w:val="24"/>
              </w:rPr>
              <w:t xml:space="preserve"> du lịch Trung Quốc</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Dân</w:t>
            </w:r>
            <w:r w:rsidRPr="00FA254E">
              <w:rPr>
                <w:noProof/>
                <w:sz w:val="24"/>
                <w:szCs w:val="24"/>
              </w:rPr>
              <w:t xml:space="preserve"> trí</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25/06</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Lê Thị</w:t>
      </w:r>
      <w:r>
        <w:rPr>
          <w:b/>
          <w:bCs/>
          <w:noProof/>
          <w:sz w:val="24"/>
          <w:szCs w:val="24"/>
        </w:rPr>
        <w:t xml:space="preserve"> Bảo Châu</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